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firstLine="567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Муниципальное бюджетное дошкольное образовательное учреждение общеразвивающего вида с приоритетным осуществлением деятельности по эстетическому направлению развития воспитанников</w:t>
      </w:r>
    </w:p>
    <w:p>
      <w:pPr>
        <w:ind w:firstLine="567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«Тяжинский детский сад №1 «Березка»</w:t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fill="ffffff"/>
        </w:rPr>
        <w:t>Обобщение передового педагогического опыта по теме:</w:t>
      </w:r>
    </w:p>
    <w:p>
      <w:pPr>
        <w:ind w:firstLine="567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fill="ffffff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основ функциональной грамотности </w:t>
      </w:r>
    </w:p>
    <w:p>
      <w:pPr>
        <w:ind w:firstLine="567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детей старшего дошкольного возраста посредством интерактивных игр и пособий»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567"/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Самолутченко Светлана Сергеевна, </w:t>
      </w:r>
    </w:p>
    <w:p>
      <w:pPr>
        <w:ind w:firstLine="567"/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para1"/>
        <w:ind w:firstLine="567"/>
        <w:spacing w:before="0" w:after="0" w:beforeAutospacing="0" w:afterAutospacing="0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para1"/>
        <w:ind w:firstLine="567"/>
        <w:spacing w:before="0" w:after="0" w:beforeAutospacing="0" w:afterAutospacing="0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firstLine="56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Тяжинский, 2025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TableGrid"/>
        <w:name w:val="Таблица1"/>
        <w:tabOrder w:val="0"/>
        <w:jc w:val="left"/>
        <w:tblInd w:w="0" w:type="dxa"/>
        <w:tblW w:w="9571" w:type="dxa"/>
        <w:tblLook w:val="04A0" w:firstRow="1" w:lastRow="0" w:firstColumn="1" w:lastColumn="0" w:noHBand="0" w:noVBand="1"/>
      </w:tblPr>
      <w:tblGrid>
        <w:gridCol w:w="3607"/>
        <w:gridCol w:w="5964"/>
      </w:tblGrid>
      <w:tr>
        <w:trPr>
          <w:tblHeader w:val="0"/>
          <w:cantSplit w:val="0"/>
          <w:trHeight w:val="0" w:hRule="auto"/>
        </w:trPr>
        <w:tc>
          <w:tcPr>
            <w:tcW w:w="3607" w:type="dxa"/>
            <w:tmTcPr id="1749130998" protected="0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автора</w:t>
            </w:r>
          </w:p>
        </w:tc>
        <w:tc>
          <w:tcPr>
            <w:tcW w:w="5964" w:type="dxa"/>
            <w:tmTcPr id="1749130998" protected="0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Самолутченко Светлана Сергеевна</w:t>
            </w:r>
          </w:p>
          <w:p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МБДОУ «Тяжинский детский сад №1 «Березка»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07" w:type="dxa"/>
            <w:tmTcPr id="1749130998" protected="0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5964" w:type="dxa"/>
            <w:tmTcPr id="1749130998" protected="0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Томский государственный педагогический университет по специальности «Дошкольное образование».2018 г.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07" w:type="dxa"/>
            <w:tmTcPr id="1749130998" protected="0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5964" w:type="dxa"/>
            <w:tmTcPr id="1749130998" protected="0"/>
          </w:tcPr>
          <w:p>
            <w:pPr>
              <w:ind w:firstLine="56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07" w:type="dxa"/>
            <w:tmTcPr id="1749130998" protected="0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5964" w:type="dxa"/>
            <w:tmTcPr id="1749130998" protected="0"/>
          </w:tcPr>
          <w:p>
            <w:pPr>
              <w:ind w:firstLine="56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Высшая, 27.04.2024 г.</w:t>
            </w:r>
          </w:p>
        </w:tc>
      </w:tr>
    </w:tbl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по обобщению педагогического опыта </w:t>
      </w:r>
      <w:r>
        <w:rPr>
          <w:rFonts w:ascii="Times New Roman" w:hAnsi="Times New Roman" w:cs="Times New Roman"/>
          <w:sz w:val="28"/>
          <w:szCs w:val="28"/>
          <w:shd w:val="clear" w:fill="ffffff"/>
        </w:rPr>
        <w:t>«</w:t>
      </w:r>
      <w:r>
        <w:rPr>
          <w:rFonts w:ascii="Times New Roman" w:hAnsi="Times New Roman" w:cs="Times New Roman"/>
          <w:sz w:val="28"/>
          <w:szCs w:val="28"/>
        </w:rPr>
        <w:t>Формирование основ функциональной грамотности у детей старшего дошкольного возраста посредством интерактивных игр и пособий» указаны актуальность и перспективность рассматриваемого опыта, практическая значимость в воспитательно – образовательном процессе, представлено интерактивное и электронное пособие «Познавательная карусель», где развивающие задания и игры распределены по направлениям функциональной грамотности. А также описаны результаты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психических процессов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при регулярном использовании пособий в разных видах деятельности.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Предназначено для педагогов ДОУ.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Содержание</w:t>
      </w:r>
    </w:p>
    <w:p>
      <w:pPr>
        <w:pStyle w:val="para4"/>
        <w:ind w:left="-36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Введение……………………………………………………..................... 4 </w:t>
      </w:r>
    </w:p>
    <w:p>
      <w:pPr>
        <w:pStyle w:val="para4"/>
        <w:ind w:left="-36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часть………………………………………………................... 6 </w:t>
      </w:r>
    </w:p>
    <w:p>
      <w:pPr>
        <w:pStyle w:val="para4"/>
        <w:ind w:left="-36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…………………………………………………................... 16</w:t>
      </w:r>
    </w:p>
    <w:p>
      <w:pPr>
        <w:pStyle w:val="para4"/>
        <w:ind w:left="-36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………………………………………………….. ..................17</w:t>
      </w:r>
      <w:r/>
      <w:bookmarkStart w:id="0" w:name="_GoBack"/>
      <w:r/>
      <w:bookmarkEnd w:id="0"/>
      <w:r/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/>
      <w:r>
        <w:rPr>
          <w:noProof/>
        </w:rPr>
        <w:drawing>
          <wp:inline distT="0" distB="0" distL="114300" distR="114300">
            <wp:extent cx="4413250" cy="2668270"/>
            <wp:effectExtent l="0" t="0" r="0" b="0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extLst>
                        <a:ext uri="sm">
                          <sm:smNativeData xmlns:sm="sm" val="SMDATA_16_9p5B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tgAAAAAAAAB+AAAAvwAAAAAAAABkAAAAZAAAAAAAAAAjAAAABAAAAGQAAAAXAAAAFAAAACYbAABqEAAAJhsAAGoQ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MAAAAByMAACAAAAAAAAAAAAAAAAIAAAADBQAAAAAAAAIAAADvAQAAJhsAAGoQAAAAAAAAqAsAACEaAAAoAAAACAAAAAEAAAABAAAA"/>
                        </a:ext>
                      </a:extLst>
                    </pic:cNvPicPr>
                  </pic:nvPicPr>
                  <pic:blipFill>
                    <a:blip r:embed="rId8"/>
                    <a:srcRect l="1820" r="1260" b="191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6682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u w:color="auto" w:val="single"/>
        </w:rPr>
      </w:pPr>
      <w:hyperlink r:id="rId9" w:history="1">
        <w:r>
          <w:rPr>
            <w:rStyle w:val="char2"/>
            <w:rFonts w:ascii="Times New Roman" w:hAnsi="Times New Roman" w:cs="Times New Roman"/>
            <w:sz w:val="28"/>
            <w:szCs w:val="28"/>
          </w:rPr>
          <w:t>https://disk.yandex.com.am/i/mrF50AONM3Dh_w</w:t>
        </w:r>
      </w:hyperlink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color="auto" w:val="single"/>
        </w:rPr>
        <w:t>Введение</w:t>
      </w:r>
    </w:p>
    <w:p>
      <w:pPr>
        <w:ind w:firstLine="567"/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современном, быстро меняющемся мире, большое внимание уделяется формированию функционально грамотной личности, способной реализовать свой потенциал в условиях современного общества. Российские и международные образовательные стандарты включают целый ряд формируемых у обучающихся навыков, компетенций, качеств, которые должны стать результатами образования (навыки XXI века) и которые так или иначе связаны с функциональной грамотностью.</w:t>
      </w:r>
    </w:p>
    <w:p>
      <w:pPr>
        <w:ind w:firstLine="567"/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Начинать формировать предпосылки функциональной грамотности необходимо уже с дошкольного возраста, т.к. функциональная грамотность становится одним из базовых факторов, способствующих участию</w:t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ребенка во всех видах его деятельности, потребностью активной личности дошкольника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Однако в дошкольном детстве мы создаем лишь условия для формирования предпосылок базовых навыков и овладения функциональной грамотностью.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я уделяю большое </w:t>
      </w:r>
      <w:r>
        <w:rPr>
          <w:rFonts w:ascii="Times New Roman" w:hAnsi="Times New Roman" w:cs="Times New Roman"/>
          <w:color w:val="000000"/>
          <w:sz w:val="28"/>
          <w:szCs w:val="28"/>
        </w:rPr>
        <w:t>внимание формированию функционально грамотной личности дошкольника, нахожу новые подходы в педагогической практике, которые тесно связаны с повседневной жизнью ребенка и с формированием основ функциональной грамотности.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рассматриваю функциональную грамотность как способность использовать все постоянно приобретаемые ребенком в детском саду знания, умения и навыки для решения поставленных или возникающих задач и ситуаций во всех направлениях развития.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ребенок дошкольного возраста может воспользоваться полученными знаниями, умениями и навыками в том случае, если они надежно будут им усвоены через игровую деятельность, так как игра является способом освоения ребенком окружающего мира. В процессе игры у ребенка развиваются любознательность, мышление, речь, память, воображение,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чувства,</w:t>
      </w:r>
      <w:r>
        <w:rPr>
          <w:rFonts w:ascii="Times New Roman" w:hAnsi="Times New Roman" w:cs="Times New Roman"/>
          <w:sz w:val="28"/>
          <w:szCs w:val="28"/>
        </w:rPr>
        <w:t xml:space="preserve"> воля, формируются взаимоотношения со сверстниками, происходит становление самооценки и самосознания.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методическом пособии я хочу поделиться своим опытом по формированию функциональной грамотности дошкольников.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развития функциональной грамотности у дошкольников обусловлена рядом факторов: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к школе. Развитие предпосылок функциональной грамотности способствует реализации преемственности дошкольной и школьной ступени и закладывает основу для успешного обучения воспитанников детского сада в школе;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адаптация к современной жизни. В быстро меняющемся мире важно, чтобы дети были адаптированы к современным высокотехнологичным достижениям. Функциональная грамотность помогает им использовать знания, умения и навыки для решения широкого диапазона жизненных задач в различных сферах человеческой деятельности, общения и социальных отношений;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в социальной, культурной и экономической деятельности. В современном мире функциональная грамотность становится одним из базовых факторов, способствующих активному участию людей в разных сферах.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  <w:t>Основная часть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дошкольного детства мы формируем предпосылки для овладения функциональной грамотностью. Задача педагога – научить ребенка быстро адаптироваться к различным условиям. Эта задача является актуальной и для дошкольного образования, поскольку подготовка детей к школе требует формирования важнейших компетенций уже в преддошкольный период воспитания.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Шалва Александрович Амоношвили сказал, что «мы принуждаем наших детей заучивать огромный груз мёртвых знаний, на что уходит особо ценное время жизни. Именно на этом отрезке жизни, а не потом когда-либо,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растущий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взрослеющий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мощное развитие талантов и способностей, познавательных мотивов и взглядов, составить в себе целостную картину мира».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Актуальным взглядом в политике образовании становится необходимость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новой организации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педагогической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ведение новых подходов в педагогической практике, который тесно связан с повседневной жизнью дошкольников и с формированием основ функциональной грамотности.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 сфере образования функциональная грамотность стала одной из главных тем для обсуждения на всех уровнях: и в детских садах,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школах,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просвещения,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Совете при Президенте Российской Федерации по науке и образованию.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же она становится такой важной?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мир стал гораздо сложнее, чем был двадцать, а тем более тридцать лет назад. Эти сложности требуют особого подхода в педагогике: это связано с появлением новых технологий, новых профессий,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экономики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социально-психологическими изменениями самого человека.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грамотность становится одним из базовых факторов, способствующих активному участию ребенка во всех видах его деятельности, потребностью активной личности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дошкольника,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высокого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общения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социальных отношений.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предпосылок функциональной грамотности способствует не только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преемственности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дошкольной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школьной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ступени, но и закладывает основу для успешного обучения воспитанников детского сада в школе.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грамотность, как средство раскрытия учебных навыков и возможностей должна быть знакома детям уже в 6-7 лет. Именно в этом возрасте создается базовая основа чтения, письма, математики и это является той благодатной почвой, которая в последствии помогает будущему школьнику приобретать знания и учиться для себя, быть самостоятельным, уметь жить среди людей. Актуальность данной проблемы стимулирует постоянный поиск новых идей и технологий, позволяющих оптимизировать образовательную деятельность с современным ребёнком.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Функциональная грамотность характеризуется следующими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показателями: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pStyle w:val="para4"/>
        <w:numPr>
          <w:ilvl w:val="0"/>
          <w:numId w:val="6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готовность успешно взаимодействовать с изменениями в окружающем мире, используя свои способности для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совершенствования;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6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возможность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решать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различные,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числе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нестандартные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учебные и жизненные задачи, обладать сформированными умениями строить алгоритмы основных видов деятельности;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6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способность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строить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социальные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отношения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нравственно-этическими требованиями социума, правилами партнерства и сотрудничества;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6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совокупность</w:t>
      </w:r>
      <w:r>
        <w:rPr>
          <w:rFonts w:ascii="Times New Roman" w:hAnsi="Times New Roman" w:cs="Times New Roman"/>
          <w:spacing w:val="-20" w:percent="8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рефлексивных</w:t>
      </w:r>
      <w:r>
        <w:rPr>
          <w:rFonts w:ascii="Times New Roman" w:hAnsi="Times New Roman" w:cs="Times New Roman"/>
          <w:spacing w:val="-20" w:percent="8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умений,</w:t>
      </w:r>
      <w:r>
        <w:rPr>
          <w:rFonts w:ascii="Times New Roman" w:hAnsi="Times New Roman" w:cs="Times New Roman"/>
          <w:spacing w:val="-20" w:percent="8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обеспечивающих</w:t>
      </w:r>
      <w:r>
        <w:rPr>
          <w:rFonts w:ascii="Times New Roman" w:hAnsi="Times New Roman" w:cs="Times New Roman"/>
          <w:spacing w:val="-20" w:percent="8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оценку</w:t>
      </w:r>
      <w:r>
        <w:rPr>
          <w:rFonts w:ascii="Times New Roman" w:hAnsi="Times New Roman" w:cs="Times New Roman"/>
          <w:spacing w:val="-20" w:percent="8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своей грамотности, стремление к дальнейшему образованию, самообразованию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дальнейшему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развитию,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умением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прогнозировать свое будущее.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базисом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функциональной грамотности ребенка в условиях реализации ФГОС ДО который</w:t>
      </w:r>
      <w:r>
        <w:rPr>
          <w:rFonts w:ascii="Times New Roman" w:hAnsi="Times New Roman" w:cs="Times New Roman"/>
          <w:spacing w:val="3" w:percent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pacing w:val="4" w:percent="10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>на: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5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финансовой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грамотности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дошкольного возраста;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5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>
        <w:rPr>
          <w:rFonts w:ascii="Times New Roman" w:hAnsi="Times New Roman" w:cs="Times New Roman"/>
          <w:spacing w:val="-22" w:percent="8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речевой</w:t>
      </w:r>
      <w:r>
        <w:rPr>
          <w:rFonts w:ascii="Times New Roman" w:hAnsi="Times New Roman" w:cs="Times New Roman"/>
          <w:spacing w:val="-20" w:percent="8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активности</w:t>
      </w:r>
      <w:r>
        <w:rPr>
          <w:rFonts w:ascii="Times New Roman" w:hAnsi="Times New Roman" w:cs="Times New Roman"/>
          <w:spacing w:val="-20" w:percent="8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дошкольников;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5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естественнонаучных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представлений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3" w:percent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 экологической грамотности у дошкольников;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5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социально-коммуникативной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грамотности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уровне дошкольного образования.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исследования PISA (Programme for International Student Assessment), около пятой части выпускников основной школы не достигали порогового уровня функциональной грамотности (по каждой из областей — математической, естественнонаучной и читательской).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исследований, связанных с оценкой функциональной грамотности российских школьников показывают, что многие российские школьники, обладая значительным объемом знаний, грамотно пользоваться этими знаниями не умеют и до недавнего времени понятие «Функциональная грамотность» в Российском образовании уделялось недостаточное внимание. Педагогический процесс, осуществляемый в традиционной форме, с опорой на объяснительно-демонстративный метод сейчас не эффективен. Это доказывает практика. Этот метод требует от детей воспроизведение услышанного, прочитанного, активизирует конкретно образное мышление в ущерб логическому абстракту.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такое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функциональная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грамотность?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«Функциональная грамотность рассматривается, как способность использовать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постоянные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приобретаемые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знания,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умения для решения максимально широкого диапазона жизненных задач в различных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сферах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человеческой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общения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социальных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отношений».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педагог дошкольной образовательной организации должен понимать, что функциональная грамотность – это способность человека адаптироваться к окружающей среде (изменяющимся условиям)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функционировать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ней,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применяя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имеющиеся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 (умения,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навыки)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конкретных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ситуациях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разнообразных жизненных задач (для дошкольного возраста примером могут быть: функциональная готовность к школе, сформированность предпосылок 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>УУД).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Функционально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грамотная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личность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человек,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ориентирующийся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мире и действующий в соответствии с общественными ценностями, ожиданиями и интересами.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признаки функционально грамотной личности: это человек самостоятельный, познающий и умеющий жить среди людей, обладающий</w:t>
      </w:r>
      <w:r>
        <w:rPr>
          <w:rFonts w:ascii="Times New Roman" w:hAnsi="Times New Roman" w:cs="Times New Roman"/>
          <w:spacing w:val="-23" w:percent="8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определёнными</w:t>
      </w:r>
      <w:r>
        <w:rPr>
          <w:rFonts w:ascii="Times New Roman" w:hAnsi="Times New Roman" w:cs="Times New Roman"/>
          <w:spacing w:val="-23" w:percent="8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качествами,</w:t>
      </w:r>
      <w:r>
        <w:rPr>
          <w:rFonts w:ascii="Times New Roman" w:hAnsi="Times New Roman" w:cs="Times New Roman"/>
          <w:spacing w:val="-22" w:percent="8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ключевыми</w:t>
      </w:r>
      <w:r>
        <w:rPr>
          <w:rFonts w:ascii="Times New Roman" w:hAnsi="Times New Roman" w:cs="Times New Roman"/>
          <w:spacing w:val="-23" w:percent="8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компетенциями. Таким образом, можно сказать, главное и сделать вывод, что функционально грамотный человек – это непросто тот, кто научился читать и писать, а тот, кто способен применять свои знания на практике и усовершенствовать их, самостоятельно обучаться, развиваться и тем самым помогать развитию современного общества. То есть «Функциональная</w:t>
      </w:r>
      <w:r>
        <w:rPr>
          <w:rFonts w:ascii="Times New Roman" w:hAnsi="Times New Roman" w:cs="Times New Roman"/>
          <w:spacing w:val="3" w:percent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грамотность</w:t>
      </w:r>
      <w:r>
        <w:rPr>
          <w:rFonts w:ascii="Times New Roman" w:hAnsi="Times New Roman" w:cs="Times New Roman"/>
          <w:spacing w:val="3" w:percent="102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связана</w:t>
      </w:r>
      <w:r>
        <w:rPr>
          <w:rFonts w:ascii="Times New Roman" w:hAnsi="Times New Roman" w:cs="Times New Roman"/>
          <w:spacing w:val="3" w:percent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3" w:percent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готовностью: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3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добывать</w:t>
      </w:r>
      <w:r>
        <w:rPr>
          <w:rFonts w:ascii="Times New Roman" w:hAnsi="Times New Roman" w:cs="Times New Roman"/>
          <w:spacing w:val="6" w:percent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знания;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3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применять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умения;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3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оценивать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 и</w:t>
      </w:r>
      <w:r>
        <w:rPr>
          <w:rFonts w:ascii="Times New Roman" w:hAnsi="Times New Roman" w:cs="Times New Roman"/>
          <w:spacing w:val="-1" w:perce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умения;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para4"/>
        <w:numPr>
          <w:ilvl w:val="0"/>
          <w:numId w:val="3"/>
        </w:numPr>
        <w:ind w:left="720"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осуществлять</w:t>
      </w:r>
      <w:r>
        <w:rPr>
          <w:rFonts w:ascii="Times New Roman" w:hAnsi="Times New Roman" w:cs="Times New Roman"/>
          <w:spacing w:val="14" w:percent="1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саморазвитие.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образовательные стандарты нацелены на три основных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ключевых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грамотностей.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математическая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грамотность, естественно научная и читательская грамотность.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  <w:t>Читательская</w:t>
      </w:r>
      <w:r>
        <w:rPr>
          <w:rFonts w:ascii="Times New Roman" w:hAnsi="Times New Roman" w:cs="Times New Roman"/>
          <w:spacing w:val="24" w:percent="119"/>
          <w:sz w:val="28"/>
          <w:szCs w:val="28"/>
          <w:u w:color="auto" w:val="single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  <w:u w:color="auto" w:val="single"/>
        </w:rPr>
        <w:t>грамотность:</w:t>
      </w: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понимать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письменные</w:t>
      </w:r>
      <w:r>
        <w:rPr>
          <w:rFonts w:ascii="Times New Roman" w:hAnsi="Times New Roman" w:cs="Times New Roman"/>
          <w:spacing w:val="-10" w:percent="9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тексты, размышлять о них и заниматься чтением для того, чтобы достигать своих целей;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возможности; участвовать в социальной жизни.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  <w:t>Естественнонаучная</w:t>
      </w:r>
      <w:r>
        <w:rPr>
          <w:rFonts w:ascii="Times New Roman" w:hAnsi="Times New Roman" w:cs="Times New Roman"/>
          <w:spacing w:val="17" w:percent="113"/>
          <w:sz w:val="28"/>
          <w:szCs w:val="28"/>
          <w:u w:color="auto" w:val="single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  <w:u w:color="auto" w:val="single"/>
        </w:rPr>
        <w:t>грамотность</w:t>
      </w: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человека использовать естественнонаучные знания, выявлять проблемы и делать обоснованные выводы, необходимые для понимания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окружающего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изменений,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вносит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 деятельность человека, и для принятия соответствующих решений.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  <w:t>Математическая</w:t>
      </w:r>
      <w:r>
        <w:rPr>
          <w:rFonts w:ascii="Times New Roman" w:hAnsi="Times New Roman" w:cs="Times New Roman"/>
          <w:spacing w:val="12" w:percent="109"/>
          <w:sz w:val="28"/>
          <w:szCs w:val="28"/>
          <w:u w:color="auto" w:val="single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  <w:u w:color="auto" w:val="single"/>
        </w:rPr>
        <w:t>грамотность</w:t>
      </w: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понимать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математики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2" w:percent="9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pacing w:val="-4" w:percent="9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Иначе говоря, человеку владеющему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глобальными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компетенциями. </w:t>
      </w:r>
      <w:r>
        <w:rPr>
          <w:rFonts w:ascii="Times New Roman" w:hAnsi="Times New Roman" w:cs="Times New Roman"/>
          <w:spacing w:val="-4" w:percent="97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pacing w:val="-4" w:percent="9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Глобальные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компетенции -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действовать индивидуально в зависимости от различных ситуаций, которые могут быть связаны и с математической грамотностью и с читательской, естественнонаучной грамотностью и умением работать, конечно же, в команде;</w:t>
      </w:r>
      <w:r>
        <w:rPr>
          <w:rFonts w:ascii="Times New Roman" w:hAnsi="Times New Roman" w:cs="Times New Roman"/>
          <w:spacing w:val="-4" w:percent="97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критически рассматривать с различных точек зрения проблемы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глобального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характера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межкультурного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осознавать</w:t>
      </w:r>
      <w:r>
        <w:rPr>
          <w:rFonts w:ascii="Times New Roman" w:hAnsi="Times New Roman" w:cs="Times New Roman"/>
          <w:spacing w:val="-19" w:percent="8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pacing w:val="-19" w:percent="8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культурные,</w:t>
      </w:r>
      <w:r>
        <w:rPr>
          <w:rFonts w:ascii="Times New Roman" w:hAnsi="Times New Roman" w:cs="Times New Roman"/>
          <w:spacing w:val="-19" w:percent="8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религиозные,</w:t>
      </w:r>
      <w:r>
        <w:rPr>
          <w:rFonts w:ascii="Times New Roman" w:hAnsi="Times New Roman" w:cs="Times New Roman"/>
          <w:spacing w:val="-19" w:percent="8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политические,</w:t>
      </w:r>
      <w:r>
        <w:rPr>
          <w:rFonts w:ascii="Times New Roman" w:hAnsi="Times New Roman" w:cs="Times New Roman"/>
          <w:spacing w:val="-19" w:percent="8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расовые</w:t>
      </w:r>
      <w:r>
        <w:rPr>
          <w:rFonts w:ascii="Times New Roman" w:hAnsi="Times New Roman" w:cs="Times New Roman"/>
          <w:spacing w:val="-19" w:percent="8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иные различия могут оказывать влияние на восприятие, суждения и взгляды – наши собственные и других людей;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вступать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открытое,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уважительное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эффективное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pacing w:val="-5" w:percent="9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другими людьми на основе разделяемого всеми уважения к человеческому достоинству.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Глобальные компетенции — это ценностно-интегративный компонент функциональной грамотности, который имеет собственное предметное содержание, ценностную основу и нацелен на формирование универсальных навыков (soft skills).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между понятиями заключается в том, что формирование глобальной компетенции (решение проблем) является ведущим компонентом формирования функциональной грамотности в условиях современной школы.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нацелена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государственная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политика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образования. Конечно, для достижения детьми максимальных результатов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необходимы: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высокий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теоретической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практической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воспитателя;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</w:t>
      </w:r>
      <w:r>
        <w:rPr>
          <w:rFonts w:ascii="Times New Roman" w:hAnsi="Times New Roman" w:cs="Times New Roman"/>
          <w:spacing w:val="-9" w:percent="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совершенствование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предметно -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развивающей</w:t>
      </w:r>
      <w:r>
        <w:rPr>
          <w:rFonts w:ascii="Times New Roman" w:hAnsi="Times New Roman" w:cs="Times New Roman"/>
          <w:spacing w:val="-8" w:percent="9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 w:percent="98"/>
          <w:sz w:val="28"/>
          <w:szCs w:val="28"/>
        </w:rPr>
        <w:t>среды;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грамотный, продуманный подход к организации всех режимных моментов с уместным использованием развивающих методик проблемного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учетом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подхода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6" w:percent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ребенку.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грамотность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просто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норма,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4" w:percent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обязанность педагога, наше с вами самообразование и саморазвитие.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Постоянный поиск новых идей и технологий для всестороннего развития воспитанников привел меня к созданию игрового пособия «Познавательная карусель».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Мир, в котором развивается современный ребенок, отличается от мира, в котором росли его родители. И моя задача построить воспитательно–образовательный процесс таким образом, чтобы помочь детям с легкостью воспринимать окружающий их мир. Быть способными успешно осваивать образовательную программу начальной школы.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Основная идея пособия заключается в формировании основ функциональной грамотности у детей старшего дошкольного возраста посредством игровых технологий.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Направлений, в которых необходимо формировать основы функциональной грамотности на сегодняшний день много. Для работы со своими воспитанниками я выделила следующие направления: читательская грамотность, социально-коммуникативная грамотность, математическая грамотность, экологическая грамотность, естественно - научная грамотность, финансовая грамотность.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3" behindDoc="1" locked="0" layoutInCell="0" hidden="0" allowOverlap="1">
            <wp:simplePos x="0" y="0"/>
            <wp:positionH relativeFrom="column">
              <wp:posOffset>436245</wp:posOffset>
            </wp:positionH>
            <wp:positionV relativeFrom="paragraph">
              <wp:posOffset>234315</wp:posOffset>
            </wp:positionV>
            <wp:extent cx="4779645" cy="3365500"/>
            <wp:effectExtent l="0" t="0" r="0" b="0"/>
            <wp:wrapTight wrapText="bothSides">
              <wp:wrapPolygon edited="0">
                <wp:start x="8775" y="2201"/>
                <wp:lineTo x="7280" y="2641"/>
                <wp:lineTo x="6339" y="3081"/>
                <wp:lineTo x="5636" y="3521"/>
                <wp:lineTo x="4973" y="3961"/>
                <wp:lineTo x="4459" y="4402"/>
                <wp:lineTo x="3949" y="4842"/>
                <wp:lineTo x="3541" y="5282"/>
                <wp:lineTo x="3200" y="5722"/>
                <wp:lineTo x="2901" y="6162"/>
                <wp:lineTo x="2666" y="6602"/>
                <wp:lineTo x="2431" y="7042"/>
                <wp:lineTo x="2215" y="7483"/>
                <wp:lineTo x="2066" y="7923"/>
                <wp:lineTo x="1960" y="8363"/>
                <wp:lineTo x="1854" y="8803"/>
                <wp:lineTo x="1791" y="9243"/>
                <wp:lineTo x="1748" y="9683"/>
                <wp:lineTo x="1748" y="11004"/>
                <wp:lineTo x="1791" y="11444"/>
                <wp:lineTo x="1874" y="11884"/>
                <wp:lineTo x="1960" y="12324"/>
                <wp:lineTo x="2089" y="12764"/>
                <wp:lineTo x="2281" y="13205"/>
                <wp:lineTo x="2474" y="13645"/>
                <wp:lineTo x="2752" y="14085"/>
                <wp:lineTo x="3028" y="14525"/>
                <wp:lineTo x="3372" y="14965"/>
                <wp:lineTo x="3776" y="15405"/>
                <wp:lineTo x="4224" y="15845"/>
                <wp:lineTo x="4867" y="16286"/>
                <wp:lineTo x="5527" y="16726"/>
                <wp:lineTo x="5871" y="17166"/>
                <wp:lineTo x="6382" y="17606"/>
                <wp:lineTo x="7002" y="18046"/>
                <wp:lineTo x="7857" y="18486"/>
                <wp:lineTo x="9246" y="18926"/>
                <wp:lineTo x="12759" y="18926"/>
                <wp:lineTo x="14168" y="18486"/>
                <wp:lineTo x="15043" y="18046"/>
                <wp:lineTo x="15686" y="17606"/>
                <wp:lineTo x="16219" y="17166"/>
                <wp:lineTo x="16581" y="16726"/>
                <wp:lineTo x="16945" y="16286"/>
                <wp:lineTo x="17585" y="15845"/>
                <wp:lineTo x="18099" y="15405"/>
                <wp:lineTo x="18547" y="14965"/>
                <wp:lineTo x="18931" y="14525"/>
                <wp:lineTo x="19230" y="14085"/>
                <wp:lineTo x="19531" y="13645"/>
                <wp:lineTo x="19786" y="13205"/>
                <wp:lineTo x="19999" y="12764"/>
                <wp:lineTo x="20171" y="12324"/>
                <wp:lineTo x="20320" y="11884"/>
                <wp:lineTo x="20406" y="11444"/>
                <wp:lineTo x="20535" y="11004"/>
                <wp:lineTo x="20576" y="10564"/>
                <wp:lineTo x="20598" y="10123"/>
                <wp:lineTo x="20598" y="9243"/>
                <wp:lineTo x="20555" y="8803"/>
                <wp:lineTo x="20512" y="8363"/>
                <wp:lineTo x="20406" y="7923"/>
                <wp:lineTo x="20300" y="7483"/>
                <wp:lineTo x="20128" y="7042"/>
                <wp:lineTo x="19936" y="6602"/>
                <wp:lineTo x="19700" y="6162"/>
                <wp:lineTo x="19422" y="5722"/>
                <wp:lineTo x="19103" y="5282"/>
                <wp:lineTo x="18762" y="4842"/>
                <wp:lineTo x="18291" y="4402"/>
                <wp:lineTo x="17801" y="3961"/>
                <wp:lineTo x="17181" y="3521"/>
                <wp:lineTo x="16432" y="3081"/>
                <wp:lineTo x="15470" y="2641"/>
                <wp:lineTo x="15129" y="2201"/>
                <wp:lineTo x="8775" y="2201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extLst>
                        <a:ext uri="sm">
                          <sm:smNativeData xmlns:sm="sm" val="SMDATA_16_9p5B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UAAAAACMAACAAAAAAAAAAAAAAAAIAAACvAgAAAAAAAAIAAABxAQAAZx0AALQUAAAKAAAAVAkAABIt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3365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Представленное пособие имеет форму диска, разбитого на 6 секторов по направлениям функциональной грамотности. Одновременно могут играть минимум 6 детей или командами. К пособию прилагаются задания в конвертах. Для более быстрой и точной ориентации конверты</w:t>
      </w:r>
      <w:r>
        <w:rPr>
          <w:rFonts w:ascii="Times New Roman" w:hAnsi="Times New Roman" w:cs="Times New Roman"/>
          <w:sz w:val="28"/>
          <w:szCs w:val="28"/>
        </w:rPr>
        <w:t xml:space="preserve"> с заданиями имеют ту же цветовую гамму, что и сектора пособия.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4" behindDoc="0" locked="0" layoutInCell="0" hidden="0" allowOverlap="1">
            <wp:simplePos x="0" y="0"/>
            <wp:positionH relativeFrom="margin">
              <wp:posOffset>709930</wp:posOffset>
            </wp:positionH>
            <wp:positionV relativeFrom="margin">
              <wp:posOffset>7229475</wp:posOffset>
            </wp:positionV>
            <wp:extent cx="4521200" cy="2009775"/>
            <wp:effectExtent l="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extLst>
                        <a:ext uri="sm">
                          <sm:smNativeData xmlns:sm="sm" val="SMDATA_16_9p5B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wEAAKoFAABjAQAArwI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gAAAAAKIAAAAAAAAAAAAAAAAAAAEAAABeBAAAAAAAAAEAAAB5LAAA0BsAAF0MAAALAAAAAwsAAOcwAAAoAAAACAAAAAEAAAABAAAA"/>
                        </a:ext>
                      </a:extLst>
                    </pic:cNvPicPr>
                  </pic:nvPicPr>
                  <pic:blipFill>
                    <a:blip r:embed="rId11"/>
                    <a:srcRect l="4110" t="14500" r="3550" b="6870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0097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данного пособия: максимальная активизация развития познавательных процессов детей старшего дошкольного возраста посредством игровых заданий пособия.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>
      <w:pPr>
        <w:pStyle w:val="para4"/>
        <w:numPr>
          <w:ilvl w:val="0"/>
          <w:numId w:val="13"/>
        </w:numPr>
        <w:ind w:left="720" w:firstLine="567"/>
        <w:spacing w:after="1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Совершенствовать умения и навыки по всем направлениям развития.</w:t>
      </w:r>
    </w:p>
    <w:p>
      <w:pPr>
        <w:pStyle w:val="para4"/>
        <w:numPr>
          <w:ilvl w:val="0"/>
          <w:numId w:val="13"/>
        </w:numPr>
        <w:ind w:left="720" w:firstLine="567"/>
        <w:spacing w:after="1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Развивать умение самостоятельно планировать свои действия в соответствии с поставленной задачей, творческие и личностные возможностей детей.</w:t>
      </w:r>
    </w:p>
    <w:p>
      <w:pPr>
        <w:pStyle w:val="para4"/>
        <w:numPr>
          <w:ilvl w:val="0"/>
          <w:numId w:val="13"/>
        </w:numPr>
        <w:ind w:left="720" w:firstLine="567"/>
        <w:spacing w:after="1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Формировать умение определять и проговаривать последовательность действий при решении поставленных задач</w:t>
      </w:r>
    </w:p>
    <w:p>
      <w:pPr>
        <w:pStyle w:val="para4"/>
        <w:numPr>
          <w:ilvl w:val="0"/>
          <w:numId w:val="13"/>
        </w:numPr>
        <w:ind w:left="720" w:firstLine="567"/>
        <w:spacing w:after="1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Воспитывать уверенность в себе, помощь и взаимовыручку в командной работе.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Подобранные задания направлены на развитие внимания, памяти, мышления. Закрепляют полученные знания в области математики, экологии, безопасности, основ финансовой грамотности, а также знание художественной литературы (народных сказок и других произведений разных детских писателей).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Играя с пособием «Познавательная карусель», ребята чаше повторяют полученные знания, а значит прочнее запоминают информацию.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Например, через месяц игры с пособием все дети в группе на «отлично» запомнили номер экстренной службы 112. Ребята намного быстрее стали справляться с новыми заданиями на внимание, сравнение и др., Мне не надо было объяснять новые задания, дети по аналогии с предыдущими понимали его суть 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Значительно повысился уровень связной речи детей, так как ребятам необходимо было объяснить выполненное задание.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Особенно радостным и неожиданным для меня был факт запуска речи одного из воспитанников. Мальчик всегда правильно выполнял задания в тетради на занятиях, но никогда ничего не говорил, не объяснял. На протяжении длительного времени я никак не могла вывести его на диалог. И вот буквально во время второй игры с пособием «Познавательная карусель», мальчик активно начал объяснять то, как он выполнял задание. Игра с разработанным мной пособием стимулировали его активную речь и позволили раскрыть скрытые способности, что подтверждает высокую эффективность использования данного пособия для работы с детьми, испытывающими трудности в общении. Этот опыт убедительно продемонстрировал потенциал пособия по функциональной грамотности в преодолении коммуникативных барьеров у детей. Благодаря заданиям для проведения анализа информации из пособия, мальчик впервые активно участвовал в дискуссии, высказывая свои мысли и задавая вопросы. Этот случай подтверждает, что пособие по функциональной грамотности является эффективным инструментом для активизации познавательной деятельности и развития коммуникативных навыков у детей, даже у тех, кто испытывает трудности с общением.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100% воспитанников группы за короткое время втянулись в активную деятельность не только во время игры с пособием, но и стали активно проявлять себя на занятиях и в других видах деятельности, так как незаметно для себя через игру дети стали чувствовать себя более уверенно.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данные игры дети играют с удовольствием на занятиях, развлечениях и в свободное время.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мониторинга уровня развития воспитанников в пяти областях я использовала «Педагогическую диагностику индивидуального развития ребенка» Натальи Валентиновны Верещагиной. Результат развития детей виден в диаграмме.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2" behindDoc="1" locked="0" layoutInCell="0" hidden="0" allowOverlap="1">
            <wp:simplePos x="0" y="0"/>
            <wp:positionH relativeFrom="page">
              <wp:posOffset>2552700</wp:posOffset>
            </wp:positionH>
            <wp:positionV relativeFrom="paragraph">
              <wp:posOffset>7620</wp:posOffset>
            </wp:positionV>
            <wp:extent cx="2790825" cy="2008505"/>
            <wp:effectExtent l="0" t="0" r="0" b="0"/>
            <wp:wrapTight wrapText="bothSides">
              <wp:wrapPolygon edited="0">
                <wp:start x="1710" y="437"/>
                <wp:lineTo x="1681" y="874"/>
                <wp:lineTo x="1632" y="1311"/>
                <wp:lineTo x="3657" y="2185"/>
                <wp:lineTo x="3219" y="2622"/>
                <wp:lineTo x="2084" y="3059"/>
                <wp:lineTo x="2084" y="3496"/>
                <wp:lineTo x="3268" y="3933"/>
                <wp:lineTo x="2275" y="4371"/>
                <wp:lineTo x="2275" y="4808"/>
                <wp:lineTo x="3317" y="5245"/>
                <wp:lineTo x="2275" y="5682"/>
                <wp:lineTo x="2275" y="6119"/>
                <wp:lineTo x="3381" y="6556"/>
                <wp:lineTo x="2275" y="6993"/>
                <wp:lineTo x="2339" y="7430"/>
                <wp:lineTo x="3430" y="7867"/>
                <wp:lineTo x="2290" y="8304"/>
                <wp:lineTo x="2275" y="8741"/>
                <wp:lineTo x="3480" y="9178"/>
                <wp:lineTo x="2290" y="9615"/>
                <wp:lineTo x="2275" y="10052"/>
                <wp:lineTo x="3524" y="10489"/>
                <wp:lineTo x="2389" y="10926"/>
                <wp:lineTo x="2275" y="11363"/>
                <wp:lineTo x="3573" y="11800"/>
                <wp:lineTo x="3175" y="12237"/>
                <wp:lineTo x="2275" y="12675"/>
                <wp:lineTo x="3657" y="13112"/>
                <wp:lineTo x="3219" y="13549"/>
                <wp:lineTo x="2275" y="13986"/>
                <wp:lineTo x="3701" y="14423"/>
                <wp:lineTo x="3268" y="14860"/>
                <wp:lineTo x="2290" y="15297"/>
                <wp:lineTo x="2290" y="15734"/>
                <wp:lineTo x="3317" y="16171"/>
                <wp:lineTo x="2467" y="16608"/>
                <wp:lineTo x="2467" y="17045"/>
                <wp:lineTo x="2978" y="17482"/>
                <wp:lineTo x="2978" y="18356"/>
                <wp:lineTo x="59" y="18793"/>
                <wp:lineTo x="59" y="20542"/>
                <wp:lineTo x="21246" y="20542"/>
                <wp:lineTo x="21246" y="16608"/>
                <wp:lineTo x="21084" y="16171"/>
                <wp:lineTo x="22032" y="15734"/>
                <wp:lineTo x="21084" y="15297"/>
                <wp:lineTo x="21084" y="14860"/>
                <wp:lineTo x="22047" y="14423"/>
                <wp:lineTo x="21084" y="13986"/>
                <wp:lineTo x="21084" y="13549"/>
                <wp:lineTo x="22047" y="13112"/>
                <wp:lineTo x="21084" y="12675"/>
                <wp:lineTo x="21084" y="12237"/>
                <wp:lineTo x="22047" y="11800"/>
                <wp:lineTo x="21084" y="11363"/>
                <wp:lineTo x="21084" y="10926"/>
                <wp:lineTo x="22032" y="10489"/>
                <wp:lineTo x="21084" y="10052"/>
                <wp:lineTo x="21084" y="9615"/>
                <wp:lineTo x="22047" y="9178"/>
                <wp:lineTo x="21084" y="8741"/>
                <wp:lineTo x="21084" y="8304"/>
                <wp:lineTo x="22047" y="7867"/>
                <wp:lineTo x="21084" y="7430"/>
                <wp:lineTo x="21084" y="6993"/>
                <wp:lineTo x="22047" y="6556"/>
                <wp:lineTo x="22032" y="6119"/>
                <wp:lineTo x="21084" y="5682"/>
                <wp:lineTo x="21084" y="5245"/>
                <wp:lineTo x="22032" y="4808"/>
                <wp:lineTo x="21084" y="4371"/>
                <wp:lineTo x="21084" y="3933"/>
                <wp:lineTo x="22047" y="3496"/>
                <wp:lineTo x="21084" y="3059"/>
                <wp:lineTo x="21084" y="2622"/>
                <wp:lineTo x="22047" y="2185"/>
                <wp:lineTo x="19914" y="1311"/>
                <wp:lineTo x="19914" y="874"/>
                <wp:lineTo x="18071" y="437"/>
                <wp:lineTo x="1710" y="437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  <a:extLst>
                        <a:ext uri="sm">
                          <sm:smNativeData xmlns:sm="sm" val="SMDATA_16_9p5B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w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0AAAAACMAACAAAAAAAAAAAAAAAAAAAAC0DwAAAAAAAAIAAAAMAAAAKxEAAFsMAAANAAAAtA8AAO4O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085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возможности данного пособия ограничены. Приходится постоянно его пополнять большим количеством заданий, что привело меня к идее создания электронного варианта пособия.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Оно имеет те же направления и наполнено интерактивными играми моей собственной разработки.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значительно расширяет набор игр и заданий, делает процесс игры более увлекательным и интересным. Интерактивные игры разработаны в программе Power Point. Задания размещаются в личном облачном хранилище, куда направляются играющие по ссылке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9" w:history="1">
        <w:r>
          <w:rPr>
            <w:rStyle w:val="char2"/>
            <w:rFonts w:ascii="Times New Roman" w:hAnsi="Times New Roman" w:cs="Times New Roman"/>
            <w:sz w:val="28"/>
            <w:szCs w:val="28"/>
          </w:rPr>
          <w:t>https://disk.yandex.com.am/i/mrF50AONM3Dh_w</w:t>
        </w:r>
      </w:hyperlink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 варианта пособия я использую в КВЕСТ играх, развлечениях, досугах, на занятиях, в свободной игровой деятельности. Электронным пособием активно и с интересом пользуются и родители воспитанников в совместной деятельности с детьми. Пособие имеет памятку по правилам работы с компьютером для детей дошкольного возраста.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пособия легко дополняются заданиями для детей разного уровня сложности.</w:t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  <w:t>Заключение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своей работы я получила хорошие результаты развития всех психических процессов детей.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пособия по функциональной грамотности оказало положительное влияние на всех детей в группе. Занятия стали более динамичными и интересными, дети активно участвовали, демонстрируя рост познавательной активности и коммуникативных навыков.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пособия по функциональной грамотности способствовало значительному улучшению результатов обучения у всех детей в группе. Мы наблюдали рост интереса к учебному процессу, развитие критического мышления и умения работать с информацией.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удовольствием выполняли задания, улучшилась их способность к сотрудничеству, а также к аргументированному выражению собственного мнения. 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подтверждает эффективность данного пособия как инструмента для развития функциональной грамотности у детей дошкольного возраста.</w:t>
      </w:r>
    </w:p>
    <w:p>
      <w:pPr>
        <w:ind w:firstLine="56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эффективности пособия является и успешное участие моих воспитанников в олимпиадах разного уровня.</w:t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</w:r>
    </w:p>
    <w:p>
      <w:pPr>
        <w:ind w:firstLine="567"/>
        <w:spacing w:line="360" w:lineRule="auto"/>
        <w:jc w:val="center"/>
        <w:rPr>
          <w:rFonts w:ascii="Times New Roman" w:hAnsi="Times New Roman" w:cs="Times New Roman"/>
          <w:sz w:val="28"/>
          <w:szCs w:val="28"/>
          <w:u w:color="auto" w:val="single"/>
        </w:rPr>
      </w:pPr>
      <w:r>
        <w:rPr>
          <w:rFonts w:ascii="Times New Roman" w:hAnsi="Times New Roman" w:cs="Times New Roman"/>
          <w:sz w:val="28"/>
          <w:szCs w:val="28"/>
          <w:u w:color="auto" w:val="single"/>
        </w:rPr>
        <w:t>Литература</w:t>
      </w:r>
    </w:p>
    <w:p>
      <w:pPr>
        <w:numPr>
          <w:ilvl w:val="0"/>
          <w:numId w:val="2"/>
        </w:numPr>
        <w:ind w:left="720" w:firstLine="567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Акушева, Н.Г. Развитие функциональной грамотности чтения / Н.Г.Акушева, М.Б. Лойк, Л.А. Скороделова // Наука, образование, общество: тенденции и перспективы развития: сборник материалов XVII Международной научно-практической конференции. - 2020. - С. 49-51. Н.</w:t>
      </w:r>
    </w:p>
    <w:p>
      <w:pPr>
        <w:numPr>
          <w:ilvl w:val="0"/>
          <w:numId w:val="2"/>
        </w:numPr>
        <w:ind w:left="720" w:firstLine="567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Акушева Г., М.Б. Лойк, Л.А. Скороделова // Наука, образование, общество: тенденции и перспективы развития: сборник материалов XVII Международной научно-практической конференции. - 2020. - С. 49-51.</w:t>
      </w:r>
    </w:p>
    <w:p>
      <w:pPr>
        <w:numPr>
          <w:ilvl w:val="0"/>
          <w:numId w:val="2"/>
        </w:numPr>
        <w:ind w:left="720" w:firstLine="567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Козлова М.И. Повышение функциональной грамотности как необходимость современного образования / М.И. Козлова // Сборник статей II Международного учебно-исследовательского конкурса. - Петрозаводск, 2020. - С. 116-125.</w:t>
      </w:r>
    </w:p>
    <w:p>
      <w:pPr>
        <w:numPr>
          <w:ilvl w:val="0"/>
          <w:numId w:val="2"/>
        </w:numPr>
        <w:ind w:left="720" w:firstLine="567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Репкин В.В., Репкина Н.В. «Развивающее обучение: теория и практика» Томск,1997 г.</w:t>
      </w:r>
    </w:p>
    <w:p>
      <w:pPr>
        <w:numPr>
          <w:ilvl w:val="0"/>
          <w:numId w:val="2"/>
        </w:numPr>
        <w:ind w:left="720" w:firstLine="567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Савченко М.В. Формирование предпосылок функциональной грамотности у детей дошкольного возраста // Современные проблемы науки и образования. – 2021. – № 4.</w:t>
      </w:r>
    </w:p>
    <w:p>
      <w:pPr>
        <w:numPr>
          <w:ilvl w:val="0"/>
          <w:numId w:val="2"/>
        </w:numPr>
        <w:ind w:left="720" w:firstLine="567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Скоролупова О.А. «О развитии предпосылок функциональной грамотности детей дошкольного возраста» </w:t>
      </w:r>
      <w:hyperlink r:id="rId13" w:history="1">
        <w:r>
          <w:rPr>
            <w:rStyle w:val="char2"/>
            <w:rFonts w:ascii="Times New Roman" w:hAnsi="Times New Roman" w:eastAsia="Times New Roman" w:cs="Times New Roman"/>
            <w:sz w:val="28"/>
            <w:szCs w:val="28"/>
          </w:rPr>
        </w:r>
      </w:hyperlink>
    </w:p>
    <w:p>
      <w:pPr>
        <w:pStyle w:val="para4"/>
        <w:numPr>
          <w:ilvl w:val="0"/>
          <w:numId w:val="2"/>
        </w:numPr>
        <w:ind w:left="360" w:firstLine="0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Амонашвили Ш.А. «Основы гуманной педагогики. Книга 2. Как любить детей», / Шалва Амонашвили. – 3-е изд. – М.: Свет, 2017. – 352 с.</w:t>
      </w:r>
    </w:p>
    <w:p>
      <w:pPr>
        <w:ind w:left="360"/>
        <w:spacing w:after="167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footerReference w:type="default" r:id="rId14"/>
      <w:type w:val="nextPage"/>
      <w:pgSz w:h="16838" w:w="11906"/>
      <w:pgMar w:left="1701" w:top="1134" w:right="850" w:bottom="1134" w:header="0" w:footer="708"/>
      <w:paperSrc w:first="0" w:other="0" a="0" b="0"/>
      <w:pgNumType w:fmt="decimal"/>
      <w:titlePg/>
      <w:tmGutter w:val="3"/>
      <w:mirrorMargins w:val="0"/>
      <w:tmSection w:h="-2">
        <w:tmFooter w:id="0" w:h="0" edge="708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Sans">
    <w:charset w:val="00"/>
    <w:family w:val="roman"/>
    <w:pitch w:val="default"/>
  </w:font>
  <w:font w:name="Times New Roman">
    <w:charset w:val="00"/>
    <w:family w:val="roman"/>
    <w:pitch w:val="default"/>
  </w:font>
  <w:font w:name="Trebuchet MS">
    <w:charset w:val="00"/>
    <w:family w:val="swiss"/>
    <w:pitch w:val="default"/>
  </w:font>
  <w:font w:name="Calibri">
    <w:charset w:val="00"/>
    <w:family w:val="swiss"/>
    <w:pitch w:val="default"/>
  </w:font>
  <w:font w:name="Tahoma"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6"/>
      <w:spacing/>
      <w:jc w:val="right"/>
    </w:pPr>
    <w:r>
      <w:fldChar w:fldCharType="begin"/>
      <w:instrText xml:space="preserve"> PAGE </w:instrText>
      <w:fldChar w:fldCharType="separate"/>
      <w:t>16</w:t>
      <w:fldChar w:fldCharType="end"/>
    </w:r>
  </w:p>
  <w:p>
    <w:pPr>
      <w:pStyle w:val="para6"/>
    </w:pPr>
    <w:r/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6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3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3">
    <w:multiLevelType w:val="hybridMultilevel"/>
    <w:name w:val="Нумерованный список 7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4">
    <w:multiLevelType w:val="hybridMultilevel"/>
    <w:name w:val="Нумерованный список 2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-"/>
      <w:lvlJc w:val="left"/>
      <w:pPr>
        <w:ind w:left="1080" w:hanging="0"/>
      </w:pPr>
      <w:rPr>
        <w:rFonts w:ascii="Times New Roman" w:hAnsi="Times New Roman"/>
      </w:rPr>
    </w:lvl>
    <w:lvl w:ilvl="2">
      <w:numFmt w:val="bullet"/>
      <w:suff w:val="tab"/>
      <w:lvlText w:val="-"/>
      <w:lvlJc w:val="left"/>
      <w:pPr>
        <w:ind w:left="1800" w:hanging="0"/>
      </w:pPr>
      <w:rPr>
        <w:rFonts w:ascii="Times New Roman" w:hAnsi="Times New Roman"/>
      </w:rPr>
    </w:lvl>
    <w:lvl w:ilvl="3">
      <w:numFmt w:val="bullet"/>
      <w:suff w:val="tab"/>
      <w:lvlText w:val="-"/>
      <w:lvlJc w:val="left"/>
      <w:pPr>
        <w:ind w:left="2520" w:hanging="0"/>
      </w:pPr>
      <w:rPr>
        <w:rFonts w:ascii="Times New Roman" w:hAnsi="Times New Roman"/>
      </w:rPr>
    </w:lvl>
    <w:lvl w:ilvl="4">
      <w:numFmt w:val="bullet"/>
      <w:suff w:val="tab"/>
      <w:lvlText w:val="-"/>
      <w:lvlJc w:val="left"/>
      <w:pPr>
        <w:ind w:left="3240" w:hanging="0"/>
      </w:pPr>
      <w:rPr>
        <w:rFonts w:ascii="Times New Roman" w:hAnsi="Times New Roman"/>
      </w:rPr>
    </w:lvl>
    <w:lvl w:ilvl="5">
      <w:numFmt w:val="bullet"/>
      <w:suff w:val="tab"/>
      <w:lvlText w:val="-"/>
      <w:lvlJc w:val="left"/>
      <w:pPr>
        <w:ind w:left="3960" w:hanging="0"/>
      </w:pPr>
      <w:rPr>
        <w:rFonts w:ascii="Times New Roman" w:hAnsi="Times New Roman"/>
      </w:rPr>
    </w:lvl>
    <w:lvl w:ilvl="6">
      <w:numFmt w:val="bullet"/>
      <w:suff w:val="tab"/>
      <w:lvlText w:val="-"/>
      <w:lvlJc w:val="left"/>
      <w:pPr>
        <w:ind w:left="4680" w:hanging="0"/>
      </w:pPr>
      <w:rPr>
        <w:rFonts w:ascii="Times New Roman" w:hAnsi="Times New Roman"/>
      </w:rPr>
    </w:lvl>
    <w:lvl w:ilvl="7">
      <w:numFmt w:val="bullet"/>
      <w:suff w:val="tab"/>
      <w:lvlText w:val="-"/>
      <w:lvlJc w:val="left"/>
      <w:pPr>
        <w:ind w:left="5400" w:hanging="0"/>
      </w:pPr>
      <w:rPr>
        <w:rFonts w:ascii="Times New Roman" w:hAnsi="Times New Roman"/>
      </w:rPr>
    </w:lvl>
    <w:lvl w:ilvl="8">
      <w:numFmt w:val="bullet"/>
      <w:suff w:val="tab"/>
      <w:lvlText w:val="-"/>
      <w:lvlJc w:val="left"/>
      <w:pPr>
        <w:ind w:left="6120" w:hanging="0"/>
      </w:pPr>
      <w:rPr>
        <w:rFonts w:ascii="Times New Roman" w:hAnsi="Times New Roman"/>
      </w:rPr>
    </w:lvl>
  </w:abstractNum>
  <w:abstractNum w:abstractNumId="5">
    <w:multiLevelType w:val="hybridMultilevel"/>
    <w:name w:val="Нумерованный список 8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6">
    <w:multiLevelType w:val="hybridMultilevel"/>
    <w:name w:val="Нумерованный список 9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7">
    <w:multiLevelType w:val="hybridMultilevel"/>
    <w:name w:val="Нумерованный список 10"/>
    <w:lvl w:ilvl="0">
      <w:numFmt w:val="bullet"/>
      <w:suff w:val="tab"/>
      <w:lvlText w:val="·"/>
      <w:lvlJc w:val="left"/>
      <w:pPr>
        <w:ind w:left="1155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875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95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3315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035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755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5475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95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915" w:hanging="0"/>
      </w:pPr>
      <w:rPr>
        <w:rFonts w:ascii="Wingdings" w:hAnsi="Wingdings" w:eastAsia="Wingdings" w:cs="Wingdings"/>
      </w:rPr>
    </w:lvl>
  </w:abstractNum>
  <w:abstractNum w:abstractNumId="8">
    <w:multiLevelType w:val="hybridMultilevel"/>
    <w:name w:val="Нумерованный список 11"/>
    <w:lvl w:ilvl="0">
      <w:numFmt w:val="bullet"/>
      <w:suff w:val="tab"/>
      <w:lvlText w:val="-"/>
      <w:lvlJc w:val="left"/>
      <w:pPr>
        <w:ind w:left="-120" w:hanging="0"/>
      </w:pPr>
      <w:rPr>
        <w:rFonts w:ascii="Trebuchet MS" w:hAnsi="Trebuchet MS" w:eastAsia="Trebuchet MS" w:cs="Trebuchet MS"/>
        <w:b w:val="0"/>
        <w:spacing w:val="0" w:percent="100"/>
        <w:w w:val="98"/>
        <w:sz w:val="26"/>
        <w:szCs w:val="26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897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1912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926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941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955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970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984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999" w:hanging="0"/>
      </w:pPr>
      <w:rPr>
        <w:lang w:val="ru-ru" w:eastAsia="en-us" w:bidi="ar-sa"/>
      </w:rPr>
    </w:lvl>
  </w:abstractNum>
  <w:abstractNum w:abstractNumId="9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10">
    <w:multiLevelType w:val="hybridMultilevel"/>
    <w:name w:val="Нумерованный список 12"/>
    <w:lvl w:ilvl="0">
      <w:numFmt w:val="bullet"/>
      <w:suff w:val="tab"/>
      <w:lvlText w:val="•"/>
      <w:lvlJc w:val="left"/>
      <w:pPr>
        <w:ind w:left="-180" w:hanging="0"/>
      </w:pPr>
      <w:rPr>
        <w:rFonts w:ascii="Trebuchet MS" w:hAnsi="Trebuchet MS" w:eastAsia="Trebuchet MS" w:cs="Trebuchet MS"/>
        <w:b w:val="0"/>
        <w:spacing w:val="0" w:percent="100"/>
        <w:w w:val="112"/>
        <w:sz w:val="26"/>
        <w:szCs w:val="26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837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1852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866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881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895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910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924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939" w:hanging="0"/>
      </w:pPr>
      <w:rPr>
        <w:lang w:val="ru-ru" w:eastAsia="en-us" w:bidi="ar-sa"/>
      </w:rPr>
    </w:lvl>
  </w:abstractNum>
  <w:abstractNum w:abstractNumId="11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12">
    <w:multiLevelType w:val="hybridMultilevel"/>
    <w:name w:val="Нумерованный список 13"/>
    <w:lvl w:ilvl="0">
      <w:numFmt w:val="bullet"/>
      <w:suff w:val="tab"/>
      <w:lvlText w:val="·"/>
      <w:lvlJc w:val="left"/>
      <w:pPr>
        <w:ind w:left="1155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875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95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3315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035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755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5475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95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915" w:hanging="0"/>
      </w:pPr>
      <w:rPr>
        <w:rFonts w:ascii="Wingdings" w:hAnsi="Wingdings" w:eastAsia="Wingdings" w:cs="Wingdings"/>
      </w:rPr>
    </w:lvl>
  </w:abstractNum>
  <w:abstractNum w:abstractNumId="13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14">
    <w:multiLevelType w:val="hybridMultilevel"/>
    <w:name w:val="Нумерованный список 14"/>
    <w:lvl w:ilvl="0">
      <w:start w:val="0"/>
      <w:numFmt w:val="none"/>
      <w:suff w:val="tab"/>
      <w:lvlText w:val="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/>
  <w:shapeDefaults>
    <o:shapedefaults v:ext="edit" spidmax="2049"/>
    <o:shapelayout v:ext="edit">
      <o:rules v:ext="edit"/>
    </o:shapelayout>
  </w:shapeDefaults>
  <w:tmPrefOne w:val="17"/>
  <w:tmPrefTwo w:val="1"/>
  <w:tmFmtPref w:val="1892752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53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15"/>
    <w:tmLastPosSelect w:val="0"/>
    <w:tmLastPosFrameIdx w:val="0"/>
    <w:tmLastPosCaret>
      <w:tmLastPosPgfIdx w:val="217"/>
      <w:tmLastPosIdx w:val="96"/>
    </w:tmLastPosCaret>
    <w:tmLastPosAnchor>
      <w:tmLastPosPgfIdx w:val="0"/>
      <w:tmLastPosIdx w:val="0"/>
    </w:tmLastPosAnchor>
    <w:tmLastPosTblRect w:left="0" w:top="0" w:right="0" w:bottom="0"/>
  </w:tmLastPos>
  <w:tmAppRevision w:date="1749130998" w:val="1222" w:fileVer="342" w:fileVer64="64" w:fileVerOS="3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lang w:eastAsia="ru-ru"/>
    </w:rPr>
  </w:style>
  <w:style w:type="paragraph" w:styleId="para1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para2" w:customStyle="1">
    <w:name w:val="Default"/>
    <w:qFormat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List Paragraph"/>
    <w:qFormat/>
    <w:basedOn w:val="para0"/>
    <w:pPr>
      <w:ind w:left="720"/>
      <w:contextualSpacing/>
    </w:pPr>
  </w:style>
  <w:style w:type="paragraph" w:styleId="para5" w:customStyle="1">
    <w:name w:val="Верхний колонтитул1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6" w:customStyle="1">
    <w:name w:val="Нижний колонтитул1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7" w:customStyle="1">
    <w:name w:val="c0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para8">
    <w:name w:val="Body Text"/>
    <w:qFormat/>
    <w:basedOn w:val="para0"/>
    <w:pPr>
      <w:ind w:left="57"/>
      <w:spacing w:after="0" w:line="240" w:lineRule="auto"/>
      <w:widowControl w:val="0"/>
    </w:pPr>
    <w:rPr>
      <w:rFonts w:ascii="Trebuchet MS" w:hAnsi="Trebuchet MS" w:eastAsia="Trebuchet MS" w:cs="Trebuchet MS"/>
      <w:sz w:val="26"/>
      <w:szCs w:val="26"/>
      <w:lang w:eastAsia="en-us"/>
    </w:rPr>
  </w:style>
  <w:style w:type="paragraph" w:styleId="para9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Basic Sans" w:hAnsi="Basic Sans" w:eastAsia="Basic Sans" w:cs="Basic Sans"/>
      <w:b/>
      <w:bCs/>
      <w:sz w:val="36"/>
      <w:szCs w:val="36"/>
    </w:rPr>
    <w:key w:val="1073"/>
  </w:style>
  <w:style w:type="paragraph" w:styleId="para10">
    <w:name w:val="heading 2"/>
    <w:qFormat/>
    <w:basedOn w:val="para9"/>
    <w:next w:val="para0"/>
    <w:pPr>
      <w:outlineLvl w:val="1"/>
    </w:pPr>
    <w:rPr>
      <w:sz w:val="32"/>
      <w:szCs w:val="32"/>
    </w:rPr>
    <w:key w:val="1074"/>
  </w:style>
  <w:style w:type="paragraph" w:styleId="para11">
    <w:name w:val="heading 3"/>
    <w:qFormat/>
    <w:basedOn w:val="para10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eastAsia="Calibri" w:cs="Tahoma"/>
      <w:sz w:val="16"/>
      <w:szCs w:val="16"/>
      <w:lang w:eastAsia="ru-ru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Верхний колонтитул Знак"/>
    <w:basedOn w:val="char0"/>
    <w:rPr>
      <w:rFonts w:eastAsia="Calibri"/>
      <w:lang w:eastAsia="ru-ru"/>
    </w:rPr>
  </w:style>
  <w:style w:type="character" w:styleId="char4" w:customStyle="1">
    <w:name w:val="Нижний колонтитул Знак"/>
    <w:basedOn w:val="char0"/>
    <w:rPr>
      <w:rFonts w:eastAsia="Calibri"/>
      <w:lang w:eastAsia="ru-ru"/>
    </w:rPr>
  </w:style>
  <w:style w:type="character" w:styleId="char5">
    <w:name w:val="Strong"/>
    <w:basedOn w:val="char0"/>
    <w:rPr>
      <w:b/>
      <w:bCs/>
    </w:rPr>
  </w:style>
  <w:style w:type="character" w:styleId="char6" w:customStyle="1">
    <w:name w:val="c1"/>
    <w:basedOn w:val="char0"/>
  </w:style>
  <w:style w:type="character" w:styleId="char7" w:customStyle="1">
    <w:name w:val="Основной текст Знак"/>
    <w:basedOn w:val="char0"/>
    <w:rPr>
      <w:rFonts w:ascii="Trebuchet MS" w:hAnsi="Trebuchet MS" w:eastAsia="Trebuchet MS" w:cs="Trebuchet MS"/>
      <w:sz w:val="26"/>
      <w:szCs w:val="26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Сетка таблицы светлая1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BFBFBF" tmln="10, 0, 0, 0, 0"/>
        <w:left w:val="single" w:sz="4" w:space="0" w:color="BFBFBF" tmln="10, 0, 0, 0, 0"/>
        <w:bottom w:val="single" w:sz="4" w:space="0" w:color="BFBFBF" tmln="10, 0, 0, 0, 0"/>
        <w:right w:val="single" w:sz="4" w:space="0" w:color="BFBFBF" tmln="10, 0, 0, 0, 0"/>
        <w:insideH w:val="single" w:sz="4" w:space="0" w:color="BFBFBF" tmln="10, 0, 0, 0, 0"/>
        <w:insideV w:val="single" w:sz="4" w:space="0" w:color="BFBFBF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lang w:eastAsia="ru-ru"/>
    </w:rPr>
  </w:style>
  <w:style w:type="paragraph" w:styleId="para1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para2" w:customStyle="1">
    <w:name w:val="Default"/>
    <w:qFormat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List Paragraph"/>
    <w:qFormat/>
    <w:basedOn w:val="para0"/>
    <w:pPr>
      <w:ind w:left="720"/>
      <w:contextualSpacing/>
    </w:pPr>
  </w:style>
  <w:style w:type="paragraph" w:styleId="para5" w:customStyle="1">
    <w:name w:val="Верхний колонтитул1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6" w:customStyle="1">
    <w:name w:val="Нижний колонтитул1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7" w:customStyle="1">
    <w:name w:val="c0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para8">
    <w:name w:val="Body Text"/>
    <w:qFormat/>
    <w:basedOn w:val="para0"/>
    <w:pPr>
      <w:ind w:left="57"/>
      <w:spacing w:after="0" w:line="240" w:lineRule="auto"/>
      <w:widowControl w:val="0"/>
    </w:pPr>
    <w:rPr>
      <w:rFonts w:ascii="Trebuchet MS" w:hAnsi="Trebuchet MS" w:eastAsia="Trebuchet MS" w:cs="Trebuchet MS"/>
      <w:sz w:val="26"/>
      <w:szCs w:val="26"/>
      <w:lang w:eastAsia="en-us"/>
    </w:rPr>
  </w:style>
  <w:style w:type="paragraph" w:styleId="para9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Basic Sans" w:hAnsi="Basic Sans" w:eastAsia="Basic Sans" w:cs="Basic Sans"/>
      <w:b/>
      <w:bCs/>
      <w:sz w:val="36"/>
      <w:szCs w:val="36"/>
    </w:rPr>
    <w:key w:val="1073"/>
  </w:style>
  <w:style w:type="paragraph" w:styleId="para10">
    <w:name w:val="heading 2"/>
    <w:qFormat/>
    <w:basedOn w:val="para9"/>
    <w:next w:val="para0"/>
    <w:pPr>
      <w:outlineLvl w:val="1"/>
    </w:pPr>
    <w:rPr>
      <w:sz w:val="32"/>
      <w:szCs w:val="32"/>
    </w:rPr>
    <w:key w:val="1074"/>
  </w:style>
  <w:style w:type="paragraph" w:styleId="para11">
    <w:name w:val="heading 3"/>
    <w:qFormat/>
    <w:basedOn w:val="para10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eastAsia="Calibri" w:cs="Tahoma"/>
      <w:sz w:val="16"/>
      <w:szCs w:val="16"/>
      <w:lang w:eastAsia="ru-ru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Верхний колонтитул Знак"/>
    <w:basedOn w:val="char0"/>
    <w:rPr>
      <w:rFonts w:eastAsia="Calibri"/>
      <w:lang w:eastAsia="ru-ru"/>
    </w:rPr>
  </w:style>
  <w:style w:type="character" w:styleId="char4" w:customStyle="1">
    <w:name w:val="Нижний колонтитул Знак"/>
    <w:basedOn w:val="char0"/>
    <w:rPr>
      <w:rFonts w:eastAsia="Calibri"/>
      <w:lang w:eastAsia="ru-ru"/>
    </w:rPr>
  </w:style>
  <w:style w:type="character" w:styleId="char5">
    <w:name w:val="Strong"/>
    <w:basedOn w:val="char0"/>
    <w:rPr>
      <w:b/>
      <w:bCs/>
    </w:rPr>
  </w:style>
  <w:style w:type="character" w:styleId="char6" w:customStyle="1">
    <w:name w:val="c1"/>
    <w:basedOn w:val="char0"/>
  </w:style>
  <w:style w:type="character" w:styleId="char7" w:customStyle="1">
    <w:name w:val="Основной текст Знак"/>
    <w:basedOn w:val="char0"/>
    <w:rPr>
      <w:rFonts w:ascii="Trebuchet MS" w:hAnsi="Trebuchet MS" w:eastAsia="Trebuchet MS" w:cs="Trebuchet MS"/>
      <w:sz w:val="26"/>
      <w:szCs w:val="26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Сетка таблицы светлая1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BFBFBF" tmln="10, 0, 0, 0, 0"/>
        <w:left w:val="single" w:sz="4" w:space="0" w:color="BFBFBF" tmln="10, 0, 0, 0, 0"/>
        <w:bottom w:val="single" w:sz="4" w:space="0" w:color="BFBFBF" tmln="10, 0, 0, 0, 0"/>
        <w:right w:val="single" w:sz="4" w:space="0" w:color="BFBFBF" tmln="10, 0, 0, 0, 0"/>
        <w:insideH w:val="single" w:sz="4" w:space="0" w:color="BFBFBF" tmln="10, 0, 0, 0, 0"/>
        <w:insideV w:val="single" w:sz="4" w:space="0" w:color="BFBFBF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hyperlink" Target="https://disk.yandex.com.am/i/mrF50AONM3Dh_w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yperlink" Target="https://events.prosv.ru/uploads/2022/01/additions/Ygy0exiYYPvCFeAJVeG6Qotwd27p&#160;jibwAq3tWSdC.pd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Basic Sans"/>
        <a:ea typeface="Basic Sans"/>
        <a:cs typeface="Basic Sans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rev.1222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/>
  <cp:revision>53</cp:revision>
  <dcterms:created xsi:type="dcterms:W3CDTF">2024-02-14T02:38:00Z</dcterms:created>
  <dcterms:modified xsi:type="dcterms:W3CDTF">2025-06-05T13:43:18Z</dcterms:modified>
</cp:coreProperties>
</file>